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600" w:lineRule="exact"/>
        <w:jc w:val="both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pStyle w:val="6"/>
        <w:spacing w:after="120" w:afterLines="50" w:line="6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  <w:highlight w:val="none"/>
          <w:u w:val="none"/>
        </w:rPr>
        <w:t>南充卫生职业学院（筹）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u w:val="none"/>
        </w:rPr>
        <w:t>2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</w:rPr>
        <w:t>025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u w:val="none"/>
          <w:lang w:eastAsia="zh-CN"/>
        </w:rPr>
        <w:t>第三批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highlight w:val="none"/>
          <w:u w:val="none"/>
        </w:rPr>
        <w:t>引进高层次人才需求信息表</w:t>
      </w:r>
    </w:p>
    <w:tbl>
      <w:tblPr>
        <w:tblStyle w:val="9"/>
        <w:tblW w:w="14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765"/>
        <w:gridCol w:w="4120"/>
        <w:gridCol w:w="1288"/>
        <w:gridCol w:w="1400"/>
        <w:gridCol w:w="2407"/>
        <w:gridCol w:w="737"/>
        <w:gridCol w:w="167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tblHeader/>
          <w:jc w:val="center"/>
        </w:trPr>
        <w:tc>
          <w:tcPr>
            <w:tcW w:w="5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6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引进岗位</w:t>
            </w:r>
          </w:p>
        </w:tc>
        <w:tc>
          <w:tcPr>
            <w:tcW w:w="412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专业及专业代码</w:t>
            </w:r>
          </w:p>
        </w:tc>
        <w:tc>
          <w:tcPr>
            <w:tcW w:w="12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学历学位要求</w:t>
            </w:r>
          </w:p>
        </w:tc>
        <w:tc>
          <w:tcPr>
            <w:tcW w:w="240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73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167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引进方式</w:t>
            </w:r>
          </w:p>
        </w:tc>
        <w:tc>
          <w:tcPr>
            <w:tcW w:w="167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方正黑体_GBK"/>
                <w:bCs/>
                <w:color w:val="auto"/>
                <w:kern w:val="0"/>
                <w:sz w:val="24"/>
                <w:szCs w:val="24"/>
                <w:highlight w:val="none"/>
              </w:rPr>
              <w:t>提供薪酬、生活待遇或其他优惠条件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7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护理专业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带头人</w:t>
            </w:r>
          </w:p>
        </w:tc>
        <w:tc>
          <w:tcPr>
            <w:tcW w:w="412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本科专业：护理学101101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，护理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320201，助产学101102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研究生专业：护理学101100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、078300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，护理105400，临床护理学1002Z1、1002Z2</w:t>
            </w:r>
          </w:p>
        </w:tc>
        <w:tc>
          <w:tcPr>
            <w:tcW w:w="128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相应专业</w:t>
            </w:r>
            <w:r>
              <w:rPr>
                <w:color w:val="auto"/>
                <w:kern w:val="0"/>
                <w:sz w:val="24"/>
                <w:highlight w:val="none"/>
              </w:rPr>
              <w:t>副高级及以上职称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bCs/>
                <w:color w:val="auto"/>
                <w:sz w:val="24"/>
                <w:highlight w:val="none"/>
              </w:rPr>
              <w:t>本科及以上学历</w:t>
            </w:r>
          </w:p>
        </w:tc>
        <w:tc>
          <w:tcPr>
            <w:tcW w:w="240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50</w:t>
            </w:r>
            <w:r>
              <w:rPr>
                <w:color w:val="auto"/>
                <w:kern w:val="0"/>
                <w:sz w:val="24"/>
                <w:highlight w:val="none"/>
              </w:rPr>
              <w:t>周岁及以下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，同时满足到国家法定退休年龄时养老保险缴存年限不少于规定年限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近5年有本专业或相关专业的以下成果至少三项：①独著或第一作者的核心期刊论文；②副主编及以上的正式出版教材；③独著或合著的本专业专著；④排名前三的市级及以上科研成果奖励；⑤主持院级及以上的课程建设、教改项目或获奖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最高不超过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50万元的安家补助及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市级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5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医学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检验技术专业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带头人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本科专业：医学检验技术101001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320501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研究生专业：临床检验诊断学100208、105120，微生物学071005，免疫学100102、077802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，生物化学与分子生物学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071010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相应专业</w:t>
            </w:r>
            <w:r>
              <w:rPr>
                <w:color w:val="auto"/>
                <w:kern w:val="0"/>
                <w:sz w:val="24"/>
                <w:highlight w:val="none"/>
              </w:rPr>
              <w:t>副高级及以上职称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本科及以上学历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50</w:t>
            </w:r>
            <w:r>
              <w:rPr>
                <w:color w:val="auto"/>
                <w:kern w:val="0"/>
                <w:sz w:val="24"/>
                <w:highlight w:val="none"/>
              </w:rPr>
              <w:t>周岁及以下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，同时满足到国家法定退休年龄时养老保险缴存年限不少于规定年限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近5年有本专业或相关专业的以下成果至少三项：①独著或第一作者的核心期刊论文；②副主编及以上的正式出版教材；③独著或合著的本专业专著；④排名前三的市级及以上科研成果奖励；⑤主持院级及以上的课程建设、教改项目或获奖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最高不超过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50万元的安家补助及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市级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8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康复治疗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技术专业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带头人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本科专业：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康复治疗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320601，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康复治疗学101005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中医康复学100510，康复物理治疗101009，康复作业治疗101010，听力与言语康复学101008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研究生专业：康复医学与理疗学100215、105110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中医康复学1005Z1、1005Z2、1005Z3、1005Z4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，中西医结合康复学1006Z1、1006Z2，医学技术（康复治疗学、医学康复技术、康复治疗技术方向）101000、105800，医学技术学（康复物理治疗学、康复作业治疗学方向）109902，听力与言语康复学1002Z6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相应专业</w:t>
            </w:r>
            <w:r>
              <w:rPr>
                <w:color w:val="auto"/>
                <w:kern w:val="0"/>
                <w:sz w:val="24"/>
                <w:highlight w:val="none"/>
              </w:rPr>
              <w:t>副高级及以上职称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本科及以上学历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50</w:t>
            </w:r>
            <w:r>
              <w:rPr>
                <w:color w:val="auto"/>
                <w:kern w:val="0"/>
                <w:sz w:val="24"/>
                <w:highlight w:val="none"/>
              </w:rPr>
              <w:t>周岁及以下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，同时满足到国家法定退休年龄时养老保险缴存年限不少于规定年限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近5年有本专业或相关专业的以下成果至少三项：①独著或第一作者的核心期刊论文；②副主编及以上的正式出版教材；③独著或合著的本专业专著；④排名前三的市级及以上科研成果奖励；⑤主持院级及以上的课程建设、教改项目或获奖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最高不超过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50万元的安家补助及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市级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康复治疗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技术专任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一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康复医学与理疗学100215、105110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中医康复学1005Z1、1005Z2、1005Z3、1005Z4，中西医结合康复学1006Z1、1006Z2，医学技术（康复治疗学、医学康复技术、康复治疗技术方向）101000、105800，医学技术学（康复物理治疗学、康复作业治疗学方向）109902，听力与言语康复学1002Z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相应专业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中级及以上职称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硕士</w:t>
            </w:r>
            <w:r>
              <w:rPr>
                <w:bCs/>
                <w:color w:val="auto"/>
                <w:sz w:val="24"/>
                <w:highlight w:val="none"/>
              </w:rPr>
              <w:t>研究生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及以上</w:t>
            </w:r>
            <w:r>
              <w:rPr>
                <w:bCs/>
                <w:color w:val="auto"/>
                <w:sz w:val="24"/>
                <w:highlight w:val="none"/>
              </w:rPr>
              <w:t>学历且取得相应学位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年龄4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</w:t>
            </w:r>
            <w:r>
              <w:rPr>
                <w:bCs/>
                <w:color w:val="auto"/>
                <w:sz w:val="24"/>
                <w:highlight w:val="none"/>
              </w:rPr>
              <w:t>周岁及以下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博士研究生年龄可放宽至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50周岁及以下，同时满足到国家法定退休年龄时养老保险缴存年限不少于规定年限。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执行事业单位工资，享受市级引才政策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康复治疗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技术专任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康复医学与理疗学100215、105110，中医康复学1005Z1、1005Z2、1005Z3、1005Z4，中西医结合康复学1006Z1、1006Z2，医学技术（康复治疗学、医学康复技术、康复治疗技术方向）101000、105800，医学技术学（康复物理治疗学、康复作业治疗学方向）109902，听力与言语康复学1002Z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硕士</w:t>
            </w:r>
            <w:r>
              <w:rPr>
                <w:bCs/>
                <w:color w:val="auto"/>
                <w:sz w:val="24"/>
                <w:highlight w:val="none"/>
              </w:rPr>
              <w:t>研究生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及以上</w:t>
            </w:r>
            <w:r>
              <w:rPr>
                <w:bCs/>
                <w:color w:val="auto"/>
                <w:sz w:val="24"/>
                <w:highlight w:val="none"/>
              </w:rPr>
              <w:t>学历且取得相应学位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</w:t>
            </w:r>
            <w:r>
              <w:rPr>
                <w:bCs/>
                <w:color w:val="auto"/>
                <w:sz w:val="24"/>
                <w:highlight w:val="none"/>
              </w:rPr>
              <w:t>周岁及以下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default"/>
                <w:color w:val="auto"/>
                <w:lang w:val="en-US"/>
              </w:rPr>
              <w:t>博士研究生年龄可放宽至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rFonts w:hint="default"/>
                <w:color w:val="auto"/>
                <w:lang w:val="en-US"/>
              </w:rPr>
              <w:t>周岁及以下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执行事业单位工资，享受市级引才政策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1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药学专业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带头人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本科专业：药学100701、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320301，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临床药学100703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药物制剂100702，药物分析100705，药物化学100706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研究生专业：药学078000、105500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100700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，临床药学1002Z1、1002Z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3、1002Z4、1007J1、1007Z1、1007Z2、1007Z4、1007Z5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，药剂学078002、100702，药理学100706、078006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临床药理学1002Z1、1002Z3，医学药理学1001Z3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药物分析学078004、100704，药物化学078001、100701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相应专业</w:t>
            </w:r>
            <w:r>
              <w:rPr>
                <w:bCs/>
                <w:color w:val="auto"/>
                <w:sz w:val="24"/>
                <w:highlight w:val="none"/>
              </w:rPr>
              <w:t>副高级及以上职称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本科及以上学历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50</w:t>
            </w:r>
            <w:r>
              <w:rPr>
                <w:color w:val="auto"/>
                <w:kern w:val="0"/>
                <w:sz w:val="24"/>
                <w:highlight w:val="none"/>
              </w:rPr>
              <w:t>周岁及以下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同时满足到国家法定退休年龄时养老保险缴存年限不少于规定年限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近5年有本专业或相关专业的以下成果至少三项：①独著或第一作者的核心期刊论文；②副主编及以上的正式出版教材；③独著或合著的本专业专著；④排名前三的市级及以上科研成果奖励；⑤主持院级及以上的课程建设、教改项目或获奖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最高不超过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50万元的安家补助及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市级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4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中药学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带头人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本科专业：中药学100801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中药制药100805、320401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研究生专业：中药学078100、100800，中药105600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中药药剂学1008Z2、1008Z5，临床中药学1005Z4、1005Z6、1008Z5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中药制剂学1008Z4，中药炮制学1008Z4、1008Z7、1008Z8，中药分析学1008Z4、1008Z5，中药鉴定学1008Z7、1008Z8，方剂学100504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</w:rPr>
              <w:t>相应专业</w:t>
            </w:r>
            <w:r>
              <w:rPr>
                <w:color w:val="auto"/>
                <w:kern w:val="0"/>
                <w:sz w:val="24"/>
                <w:highlight w:val="none"/>
              </w:rPr>
              <w:t>副高级及以上职称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本科及以上学历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50</w:t>
            </w:r>
            <w:r>
              <w:rPr>
                <w:color w:val="auto"/>
                <w:kern w:val="0"/>
                <w:sz w:val="24"/>
                <w:highlight w:val="none"/>
              </w:rPr>
              <w:t>周岁及以下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，同时满足到国家法定退休年龄时养老保险缴存年限不少于规定年限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</w:rPr>
              <w:t>近5年有本专业或相关专业的以下成果至少三项：①独著或第一作者的核心期刊论文；②副主编及以上的正式出版教材；③独著或合著的本专业专著；④排名前三的市级及以上科研成果奖励；⑤主持院级及以上的课程建设、教改项目或获奖</w:t>
            </w:r>
            <w:r>
              <w:rPr>
                <w:rFonts w:hint="eastAsia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最高不超过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50万元的安家补助及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市级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引才政策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4" w:hRule="atLeast"/>
          <w:jc w:val="center"/>
        </w:trPr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中药学专任教师</w:t>
            </w:r>
          </w:p>
        </w:tc>
        <w:tc>
          <w:tcPr>
            <w:tcW w:w="4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中药学078100、100800，中药105600，中药药剂学1008Z2、1008Z5，临床中药学1005Z4、1005Z6、1008Z5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,中药制剂学1008Z4,中药炮制学1008Z4、1008Z7、1008Z8,中药分析学1008Z4、1008Z5,中药鉴定学1008Z7、1008Z8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eastAsia="zh-CN"/>
              </w:rPr>
              <w:t>无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硕士研究生及以上学历且取得相应学位</w:t>
            </w:r>
          </w:p>
        </w:tc>
        <w:tc>
          <w:tcPr>
            <w:tcW w:w="2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1.</w:t>
            </w:r>
            <w:r>
              <w:rPr>
                <w:bCs/>
                <w:color w:val="auto"/>
                <w:sz w:val="24"/>
                <w:highlight w:val="none"/>
              </w:rPr>
              <w:t>年龄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4"/>
                <w:highlight w:val="none"/>
              </w:rPr>
              <w:t>5</w:t>
            </w:r>
            <w:r>
              <w:rPr>
                <w:bCs/>
                <w:color w:val="auto"/>
                <w:sz w:val="24"/>
                <w:highlight w:val="none"/>
              </w:rPr>
              <w:t>周岁及以下</w:t>
            </w: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default"/>
                <w:color w:val="auto"/>
                <w:lang w:val="en-US"/>
              </w:rPr>
              <w:t>博士研究生年龄可放宽至</w:t>
            </w:r>
            <w:r>
              <w:rPr>
                <w:rFonts w:hint="eastAsia"/>
                <w:color w:val="auto"/>
                <w:lang w:val="en-US" w:eastAsia="zh-CN"/>
              </w:rPr>
              <w:t>45</w:t>
            </w:r>
            <w:r>
              <w:rPr>
                <w:rFonts w:hint="default"/>
                <w:color w:val="auto"/>
                <w:lang w:val="en-US"/>
              </w:rPr>
              <w:t>周岁及以下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  <w:p>
            <w:pPr>
              <w:pStyle w:val="2"/>
              <w:ind w:firstLine="0" w:firstLineChars="0"/>
              <w:rPr>
                <w:rFonts w:hint="eastAsia" w:eastAsia="方正仿宋简体"/>
                <w:b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color w:val="auto"/>
                <w:sz w:val="24"/>
                <w:highlight w:val="none"/>
              </w:rPr>
            </w:pPr>
            <w:r>
              <w:rPr>
                <w:bCs/>
                <w:color w:val="auto"/>
                <w:sz w:val="24"/>
                <w:highlight w:val="none"/>
              </w:rPr>
              <w:t>编制内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  <w:lang w:eastAsia="zh-CN"/>
              </w:rPr>
              <w:t>刚性</w:t>
            </w:r>
            <w:r>
              <w:rPr>
                <w:bCs/>
                <w:color w:val="auto"/>
                <w:sz w:val="24"/>
                <w:highlight w:val="none"/>
              </w:rPr>
              <w:t>引进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简体"/>
                <w:b/>
                <w:bCs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highlight w:val="none"/>
              </w:rPr>
              <w:t>执行事业单位工资，享受市级引才政策</w:t>
            </w:r>
          </w:p>
        </w:tc>
      </w:tr>
    </w:tbl>
    <w:p>
      <w:pPr>
        <w:pStyle w:val="2"/>
        <w:rPr>
          <w:bCs/>
          <w:color w:val="auto"/>
          <w:highlight w:val="none"/>
          <w:u w:val="single"/>
        </w:rPr>
      </w:pPr>
    </w:p>
    <w:p>
      <w:pPr>
        <w:pStyle w:val="8"/>
        <w:ind w:left="0" w:leftChars="0" w:firstLine="0" w:firstLineChars="0"/>
        <w:rPr>
          <w:rFonts w:hint="eastAsia" w:eastAsia="方正仿宋_GBK"/>
          <w:color w:val="auto"/>
          <w:highlight w:val="none"/>
          <w:lang w:eastAsia="zh-CN"/>
        </w:rPr>
        <w:sectPr>
          <w:pgSz w:w="16838" w:h="11906" w:orient="landscape"/>
          <w:pgMar w:top="1531" w:right="1417" w:bottom="1474" w:left="1417" w:header="851" w:footer="1247" w:gutter="0"/>
          <w:cols w:space="720" w:num="1"/>
          <w:docGrid w:linePitch="597" w:charSpace="0"/>
        </w:sectPr>
      </w:pPr>
    </w:p>
    <w:p>
      <w:pPr>
        <w:pStyle w:val="2"/>
        <w:spacing w:line="600" w:lineRule="exact"/>
        <w:rPr>
          <w:rFonts w:hint="default" w:ascii="Times New Roman" w:hAnsi="Times New Roman" w:eastAsia="方正仿宋_GBK" w:cs="Times New Roman"/>
          <w:bCs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highlight w:val="none"/>
          <w:lang w:val="en-US" w:eastAsia="zh-CN"/>
        </w:rPr>
        <w:t>2</w:t>
      </w:r>
    </w:p>
    <w:p>
      <w:pPr>
        <w:widowControl/>
        <w:spacing w:after="144" w:afterLines="25" w:line="600" w:lineRule="exact"/>
        <w:jc w:val="center"/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auto"/>
          <w:sz w:val="44"/>
          <w:szCs w:val="44"/>
          <w:highlight w:val="none"/>
          <w:u w:val="none"/>
        </w:rPr>
        <w:t>南充卫生职业学院（筹）</w:t>
      </w:r>
    </w:p>
    <w:p>
      <w:pPr>
        <w:widowControl/>
        <w:spacing w:after="144" w:afterLines="25" w:line="60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w w:val="96"/>
          <w:sz w:val="44"/>
          <w:szCs w:val="44"/>
          <w:highlight w:val="none"/>
        </w:rPr>
        <w:t>2025年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-20"/>
          <w:w w:val="96"/>
          <w:sz w:val="44"/>
          <w:szCs w:val="44"/>
          <w:highlight w:val="none"/>
          <w:lang w:eastAsia="zh-CN"/>
        </w:rPr>
        <w:t>第三批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w w:val="96"/>
          <w:sz w:val="44"/>
          <w:szCs w:val="44"/>
          <w:highlight w:val="none"/>
        </w:rPr>
        <w:t>引进高层次人才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pacing w:val="-20"/>
          <w:w w:val="96"/>
          <w:sz w:val="44"/>
          <w:szCs w:val="44"/>
          <w:highlight w:val="none"/>
          <w:lang w:eastAsia="zh-CN"/>
        </w:rPr>
        <w:t>公开考核招聘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-20"/>
          <w:w w:val="96"/>
          <w:sz w:val="44"/>
          <w:szCs w:val="44"/>
          <w:highlight w:val="none"/>
        </w:rPr>
        <w:t>报名表</w:t>
      </w:r>
    </w:p>
    <w:tbl>
      <w:tblPr>
        <w:tblStyle w:val="9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照 片</w:t>
            </w:r>
          </w:p>
          <w:p>
            <w:pPr>
              <w:spacing w:line="320" w:lineRule="exact"/>
              <w:jc w:val="center"/>
              <w:rPr>
                <w:rFonts w:eastAsia="仿宋_GB2312"/>
                <w:b w:val="0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eastAsia="仿宋_GB2312"/>
                <w:b w:val="0"/>
                <w:color w:val="auto"/>
                <w:kern w:val="0"/>
                <w:sz w:val="13"/>
                <w:szCs w:val="13"/>
                <w:highlight w:val="none"/>
              </w:rPr>
              <w:t>2寸彩色免冠</w:t>
            </w:r>
            <w:r>
              <w:rPr>
                <w:rFonts w:eastAsia="仿宋_GB2312"/>
                <w:b w:val="0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健 康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参 工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在 职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电子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1"/>
                <w:szCs w:val="21"/>
                <w:highlight w:val="none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成员及重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要社会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是否有</w:t>
            </w:r>
          </w:p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仿宋_GB2312" w:hAnsi="Calibri" w:eastAsia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A3F18"/>
    <w:rsid w:val="EBE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4">
    <w:name w:val="Body Text Indent"/>
    <w:basedOn w:val="1"/>
    <w:next w:val="3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2025-07-02T14:11:00Z</dcterms:created>
  <dc:creator>uos</dc:creator>
  <cp:lastModifiedBy>uos</cp:lastModifiedBy>
  <dcterms:modified xsi:type="dcterms:W3CDTF">2025-07-02T14:11:43Z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